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0" w:rsidRDefault="002C4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0870">
        <w:rPr>
          <w:rFonts w:ascii="Times New Roman" w:hAnsi="Times New Roman" w:cs="Times New Roman"/>
          <w:sz w:val="24"/>
          <w:szCs w:val="24"/>
        </w:rPr>
        <w:t xml:space="preserve"> </w:t>
      </w:r>
      <w:r w:rsidR="00B12B78">
        <w:rPr>
          <w:rFonts w:ascii="Times New Roman" w:hAnsi="Times New Roman" w:cs="Times New Roman"/>
          <w:sz w:val="24"/>
          <w:szCs w:val="24"/>
        </w:rPr>
        <w:t>April 27th</w:t>
      </w:r>
      <w:r w:rsidR="00AB6F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6167">
        <w:rPr>
          <w:rFonts w:ascii="Times New Roman" w:hAnsi="Times New Roman" w:cs="Times New Roman"/>
          <w:sz w:val="24"/>
          <w:szCs w:val="24"/>
        </w:rPr>
        <w:t xml:space="preserve">  </w:t>
      </w:r>
      <w:r w:rsidR="00AB6F07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THE</w:t>
      </w:r>
      <w:r w:rsidR="00AB6F07" w:rsidRPr="00AB6F0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050870" w:rsidRPr="00AB6F0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SUMMATIVE</w:t>
      </w:r>
    </w:p>
    <w:p w:rsidR="00171AE4" w:rsidRPr="00B12B78" w:rsidRDefault="00171AE4" w:rsidP="002E6167">
      <w:pPr>
        <w:ind w:right="-270"/>
        <w:rPr>
          <w:rFonts w:ascii="Times New Roman" w:hAnsi="Times New Roman" w:cs="Times New Roman"/>
          <w:sz w:val="28"/>
          <w:szCs w:val="28"/>
        </w:rPr>
      </w:pPr>
      <w:r w:rsidRPr="00B12B78">
        <w:rPr>
          <w:rFonts w:ascii="Times New Roman" w:hAnsi="Times New Roman" w:cs="Times New Roman"/>
          <w:sz w:val="28"/>
          <w:szCs w:val="28"/>
        </w:rPr>
        <w:t xml:space="preserve">The Focus of </w:t>
      </w:r>
      <w:r w:rsidR="00E46B7B" w:rsidRPr="00B12B78">
        <w:rPr>
          <w:rFonts w:ascii="Times New Roman" w:hAnsi="Times New Roman" w:cs="Times New Roman"/>
          <w:sz w:val="28"/>
          <w:szCs w:val="28"/>
        </w:rPr>
        <w:t>the</w:t>
      </w:r>
      <w:r w:rsidRPr="00B12B78">
        <w:rPr>
          <w:rFonts w:ascii="Times New Roman" w:hAnsi="Times New Roman" w:cs="Times New Roman"/>
          <w:sz w:val="28"/>
          <w:szCs w:val="28"/>
        </w:rPr>
        <w:t xml:space="preserve"> Summative</w:t>
      </w:r>
      <w:r w:rsidR="00E46B7B" w:rsidRPr="00B12B78">
        <w:rPr>
          <w:rFonts w:ascii="Times New Roman" w:hAnsi="Times New Roman" w:cs="Times New Roman"/>
          <w:sz w:val="28"/>
          <w:szCs w:val="28"/>
        </w:rPr>
        <w:t xml:space="preserve"> for all CW performance Majors</w:t>
      </w:r>
      <w:r w:rsidRPr="00B12B78">
        <w:rPr>
          <w:rFonts w:ascii="Times New Roman" w:hAnsi="Times New Roman" w:cs="Times New Roman"/>
          <w:sz w:val="28"/>
          <w:szCs w:val="28"/>
        </w:rPr>
        <w:t xml:space="preserve"> is </w:t>
      </w:r>
      <w:r w:rsidRPr="00B12B78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E46B7B" w:rsidRPr="00B12B78">
        <w:rPr>
          <w:rFonts w:ascii="Times New Roman" w:hAnsi="Times New Roman" w:cs="Times New Roman"/>
          <w:sz w:val="28"/>
          <w:szCs w:val="28"/>
        </w:rPr>
        <w:t>a</w:t>
      </w:r>
      <w:r w:rsidRPr="00B12B78">
        <w:rPr>
          <w:rFonts w:ascii="Times New Roman" w:hAnsi="Times New Roman" w:cs="Times New Roman"/>
          <w:sz w:val="28"/>
          <w:szCs w:val="28"/>
        </w:rPr>
        <w:t xml:space="preserve"> final performance of a piece of music</w:t>
      </w:r>
      <w:r w:rsidR="002E6167" w:rsidRPr="00B12B78">
        <w:rPr>
          <w:rFonts w:ascii="Times New Roman" w:hAnsi="Times New Roman" w:cs="Times New Roman"/>
          <w:sz w:val="28"/>
          <w:szCs w:val="28"/>
        </w:rPr>
        <w:t xml:space="preserve"> with accompaniment</w:t>
      </w:r>
      <w:r w:rsidRPr="00B12B78">
        <w:rPr>
          <w:rFonts w:ascii="Times New Roman" w:hAnsi="Times New Roman" w:cs="Times New Roman"/>
          <w:sz w:val="28"/>
          <w:szCs w:val="28"/>
        </w:rPr>
        <w:t xml:space="preserve">. Rather it will be a step by step analysis of the technical challenges of the </w:t>
      </w:r>
      <w:r w:rsidR="002E6167" w:rsidRPr="00B12B78">
        <w:rPr>
          <w:rFonts w:ascii="Times New Roman" w:hAnsi="Times New Roman" w:cs="Times New Roman"/>
          <w:b/>
          <w:bCs/>
          <w:sz w:val="28"/>
          <w:szCs w:val="28"/>
        </w:rPr>
        <w:t>solo</w:t>
      </w:r>
      <w:r w:rsidRPr="00B12B78">
        <w:rPr>
          <w:rFonts w:ascii="Times New Roman" w:hAnsi="Times New Roman" w:cs="Times New Roman"/>
          <w:sz w:val="28"/>
          <w:szCs w:val="28"/>
        </w:rPr>
        <w:t xml:space="preserve"> you are working on. You will make four or five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 xml:space="preserve">video demonstrations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that </w:t>
      </w:r>
      <w:r w:rsidRPr="00B12B78">
        <w:rPr>
          <w:rFonts w:ascii="Times New Roman" w:hAnsi="Times New Roman" w:cs="Times New Roman"/>
          <w:sz w:val="28"/>
          <w:szCs w:val="28"/>
        </w:rPr>
        <w:t xml:space="preserve">deal with technical challenges. </w:t>
      </w:r>
      <w:r w:rsidR="00B13324" w:rsidRPr="00B12B78">
        <w:rPr>
          <w:rFonts w:ascii="Times New Roman" w:hAnsi="Times New Roman" w:cs="Times New Roman"/>
          <w:sz w:val="28"/>
          <w:szCs w:val="28"/>
        </w:rPr>
        <w:t>At the same time, y</w:t>
      </w:r>
      <w:r w:rsidRPr="00B12B78">
        <w:rPr>
          <w:rFonts w:ascii="Times New Roman" w:hAnsi="Times New Roman" w:cs="Times New Roman"/>
          <w:sz w:val="28"/>
          <w:szCs w:val="28"/>
        </w:rPr>
        <w:t xml:space="preserve">ou will make 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short </w:t>
      </w:r>
      <w:r w:rsidRPr="00B12B78">
        <w:rPr>
          <w:rFonts w:ascii="Times New Roman" w:hAnsi="Times New Roman" w:cs="Times New Roman"/>
          <w:sz w:val="28"/>
          <w:szCs w:val="28"/>
        </w:rPr>
        <w:t>written self-evaluation</w:t>
      </w:r>
      <w:r w:rsidR="00B13324" w:rsidRPr="00B12B78">
        <w:rPr>
          <w:rFonts w:ascii="Times New Roman" w:hAnsi="Times New Roman" w:cs="Times New Roman"/>
          <w:sz w:val="28"/>
          <w:szCs w:val="28"/>
        </w:rPr>
        <w:t>s</w:t>
      </w:r>
      <w:r w:rsidRPr="00B12B78">
        <w:rPr>
          <w:rFonts w:ascii="Times New Roman" w:hAnsi="Times New Roman" w:cs="Times New Roman"/>
          <w:sz w:val="28"/>
          <w:szCs w:val="28"/>
        </w:rPr>
        <w:t xml:space="preserve"> </w:t>
      </w:r>
      <w:r w:rsidR="00B12B78">
        <w:rPr>
          <w:rFonts w:ascii="Times New Roman" w:hAnsi="Times New Roman" w:cs="Times New Roman"/>
          <w:sz w:val="28"/>
          <w:szCs w:val="28"/>
        </w:rPr>
        <w:t>using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each of your videos </w:t>
      </w:r>
      <w:r w:rsidR="00691A46">
        <w:rPr>
          <w:rFonts w:ascii="Times New Roman" w:hAnsi="Times New Roman" w:cs="Times New Roman"/>
          <w:sz w:val="28"/>
          <w:szCs w:val="28"/>
        </w:rPr>
        <w:t xml:space="preserve">and </w:t>
      </w:r>
      <w:r w:rsidR="00B13324" w:rsidRPr="00B12B78">
        <w:rPr>
          <w:rFonts w:ascii="Times New Roman" w:hAnsi="Times New Roman" w:cs="Times New Roman"/>
          <w:sz w:val="28"/>
          <w:szCs w:val="28"/>
        </w:rPr>
        <w:t>discussing</w:t>
      </w:r>
      <w:r w:rsidRPr="00B12B78">
        <w:rPr>
          <w:rFonts w:ascii="Times New Roman" w:hAnsi="Times New Roman" w:cs="Times New Roman"/>
          <w:sz w:val="28"/>
          <w:szCs w:val="28"/>
        </w:rPr>
        <w:t xml:space="preserve"> how you think you are accomplishing</w:t>
      </w:r>
      <w:r w:rsidR="00B13324" w:rsidRPr="00B12B78">
        <w:rPr>
          <w:rFonts w:ascii="Times New Roman" w:hAnsi="Times New Roman" w:cs="Times New Roman"/>
          <w:sz w:val="28"/>
          <w:szCs w:val="28"/>
        </w:rPr>
        <w:t xml:space="preserve"> the technical challenges. The technical challenges are the same that you have been focusing on this year:  </w:t>
      </w:r>
    </w:p>
    <w:tbl>
      <w:tblPr>
        <w:tblStyle w:val="TableGrid"/>
        <w:tblW w:w="11970" w:type="dxa"/>
        <w:tblInd w:w="-1309" w:type="dxa"/>
        <w:tblLook w:val="04A0" w:firstRow="1" w:lastRow="0" w:firstColumn="1" w:lastColumn="0" w:noHBand="0" w:noVBand="1"/>
      </w:tblPr>
      <w:tblGrid>
        <w:gridCol w:w="2204"/>
        <w:gridCol w:w="3838"/>
        <w:gridCol w:w="2077"/>
        <w:gridCol w:w="3851"/>
      </w:tblGrid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(Winds)</w:t>
            </w:r>
          </w:p>
        </w:tc>
        <w:tc>
          <w:tcPr>
            <w:tcW w:w="3838" w:type="dxa"/>
          </w:tcPr>
          <w:p w:rsidR="00E46B7B" w:rsidRDefault="00E46B7B" w:rsidP="00E46B7B">
            <w:r>
              <w:t>01. Posture: Head/Shoulders/Arms/Feet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  <w:r>
              <w:rPr>
                <w:b/>
                <w:bCs/>
                <w:color w:val="FF0000"/>
              </w:rPr>
              <w:t xml:space="preserve"> (Perc)</w:t>
            </w:r>
          </w:p>
        </w:tc>
        <w:tc>
          <w:tcPr>
            <w:tcW w:w="3851" w:type="dxa"/>
          </w:tcPr>
          <w:p w:rsidR="00E46B7B" w:rsidRDefault="00E46B7B" w:rsidP="00E46B7B">
            <w:r>
              <w:t>01. Posture: Head/Shoulders/Arms/Feet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38" w:type="dxa"/>
          </w:tcPr>
          <w:p w:rsidR="00E46B7B" w:rsidRDefault="00E46B7B" w:rsidP="00E46B7B">
            <w:r>
              <w:t>02. Hand Positions/Holding Instrument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(Presentation)</w:t>
            </w:r>
          </w:p>
        </w:tc>
        <w:tc>
          <w:tcPr>
            <w:tcW w:w="3851" w:type="dxa"/>
          </w:tcPr>
          <w:p w:rsidR="00E46B7B" w:rsidRDefault="00E46B7B" w:rsidP="00E46B7B">
            <w:r>
              <w:t>02. Hand Positions/Holding Instrument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03. Memory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ind w:left="75"/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03. Memory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38" w:type="dxa"/>
          </w:tcPr>
          <w:p w:rsidR="00E46B7B" w:rsidRDefault="00E46B7B" w:rsidP="00E46B7B">
            <w:r>
              <w:t>04. Embouchure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851" w:type="dxa"/>
          </w:tcPr>
          <w:p w:rsidR="00E46B7B" w:rsidRDefault="00E46B7B" w:rsidP="00E46B7B">
            <w:r>
              <w:t>04. Preparation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38" w:type="dxa"/>
          </w:tcPr>
          <w:p w:rsidR="00E46B7B" w:rsidRDefault="00E46B7B" w:rsidP="00E46B7B">
            <w:r>
              <w:t>05. Articulation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(Mechanics)</w:t>
            </w:r>
          </w:p>
        </w:tc>
        <w:tc>
          <w:tcPr>
            <w:tcW w:w="3851" w:type="dxa"/>
          </w:tcPr>
          <w:p w:rsidR="00E46B7B" w:rsidRDefault="00E46B7B" w:rsidP="00E46B7B">
            <w:r>
              <w:t>05. Expression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06. Breath Support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06. Technique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07. Pitch Accuracy-fingerings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07. Pitch Accuracy-fingerings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38" w:type="dxa"/>
          </w:tcPr>
          <w:p w:rsidR="00E46B7B" w:rsidRDefault="00E46B7B" w:rsidP="00E46B7B">
            <w:r>
              <w:t>08. Rhythmic Accuracy</w:t>
            </w:r>
          </w:p>
        </w:tc>
        <w:tc>
          <w:tcPr>
            <w:tcW w:w="2077" w:type="dxa"/>
          </w:tcPr>
          <w:p w:rsidR="00E46B7B" w:rsidRPr="00313192" w:rsidRDefault="00E46B7B" w:rsidP="00E46B7B">
            <w:r w:rsidRPr="00313192">
              <w:t>(Musicianship)</w:t>
            </w:r>
          </w:p>
        </w:tc>
        <w:tc>
          <w:tcPr>
            <w:tcW w:w="3851" w:type="dxa"/>
          </w:tcPr>
          <w:p w:rsidR="00E46B7B" w:rsidRDefault="00E46B7B" w:rsidP="00E46B7B">
            <w:r>
              <w:t>08. Rhythmic Accuracy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38" w:type="dxa"/>
          </w:tcPr>
          <w:p w:rsidR="00E46B7B" w:rsidRDefault="00E46B7B" w:rsidP="00E46B7B">
            <w:r>
              <w:t>09. Tempo Consistency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</w:p>
        </w:tc>
        <w:tc>
          <w:tcPr>
            <w:tcW w:w="3851" w:type="dxa"/>
          </w:tcPr>
          <w:p w:rsidR="00E46B7B" w:rsidRDefault="00E46B7B" w:rsidP="00E46B7B">
            <w:r>
              <w:t>09. Tempo Consistency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38" w:type="dxa"/>
          </w:tcPr>
          <w:p w:rsidR="00E46B7B" w:rsidRDefault="00E46B7B" w:rsidP="00E46B7B">
            <w:r>
              <w:t>10. Dynamic Contrast</w:t>
            </w:r>
          </w:p>
        </w:tc>
        <w:tc>
          <w:tcPr>
            <w:tcW w:w="2077" w:type="dxa"/>
          </w:tcPr>
          <w:p w:rsidR="00E46B7B" w:rsidRPr="001E530A" w:rsidRDefault="00E46B7B" w:rsidP="00E46B7B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851" w:type="dxa"/>
          </w:tcPr>
          <w:p w:rsidR="00E46B7B" w:rsidRDefault="00E46B7B" w:rsidP="00E46B7B">
            <w:r>
              <w:t>10. Dynamic Contrast</w:t>
            </w:r>
          </w:p>
        </w:tc>
      </w:tr>
      <w:tr w:rsidR="00E46B7B" w:rsidTr="00E46B7B">
        <w:trPr>
          <w:trHeight w:val="255"/>
        </w:trPr>
        <w:tc>
          <w:tcPr>
            <w:tcW w:w="2204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38" w:type="dxa"/>
          </w:tcPr>
          <w:p w:rsidR="00E46B7B" w:rsidRDefault="00E46B7B" w:rsidP="00E46B7B">
            <w:r>
              <w:t>11. Phrasing</w:t>
            </w:r>
          </w:p>
        </w:tc>
        <w:tc>
          <w:tcPr>
            <w:tcW w:w="2077" w:type="dxa"/>
          </w:tcPr>
          <w:p w:rsidR="00E46B7B" w:rsidRDefault="00E46B7B" w:rsidP="00E46B7B">
            <w:r>
              <w:t>(Musicality)</w:t>
            </w:r>
          </w:p>
        </w:tc>
        <w:tc>
          <w:tcPr>
            <w:tcW w:w="3851" w:type="dxa"/>
          </w:tcPr>
          <w:p w:rsidR="00E46B7B" w:rsidRDefault="00E46B7B" w:rsidP="00E46B7B">
            <w:r>
              <w:t>11. Phrasing</w:t>
            </w:r>
          </w:p>
        </w:tc>
      </w:tr>
      <w:tr w:rsidR="00E46B7B" w:rsidTr="00E46B7B">
        <w:trPr>
          <w:trHeight w:val="270"/>
        </w:trPr>
        <w:tc>
          <w:tcPr>
            <w:tcW w:w="2204" w:type="dxa"/>
          </w:tcPr>
          <w:p w:rsidR="00E46B7B" w:rsidRDefault="00E46B7B" w:rsidP="00E46B7B"/>
        </w:tc>
        <w:tc>
          <w:tcPr>
            <w:tcW w:w="3838" w:type="dxa"/>
          </w:tcPr>
          <w:p w:rsidR="00E46B7B" w:rsidRDefault="00E46B7B" w:rsidP="00E46B7B">
            <w:r>
              <w:t>12. Tone Quality</w:t>
            </w:r>
          </w:p>
        </w:tc>
        <w:tc>
          <w:tcPr>
            <w:tcW w:w="2077" w:type="dxa"/>
          </w:tcPr>
          <w:p w:rsidR="00E46B7B" w:rsidRDefault="00E46B7B" w:rsidP="00E46B7B"/>
        </w:tc>
        <w:tc>
          <w:tcPr>
            <w:tcW w:w="3851" w:type="dxa"/>
          </w:tcPr>
          <w:p w:rsidR="00E46B7B" w:rsidRDefault="00E46B7B" w:rsidP="00E46B7B">
            <w:r>
              <w:t>12. Tone Quality</w:t>
            </w:r>
          </w:p>
        </w:tc>
      </w:tr>
    </w:tbl>
    <w:p w:rsidR="00AB6F07" w:rsidRPr="002E6167" w:rsidRDefault="00AB6F07" w:rsidP="00AB6F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>1</w:t>
      </w:r>
      <w:r w:rsidRPr="00691A46">
        <w:rPr>
          <w:rFonts w:ascii="Times New Roman" w:hAnsi="Times New Roman" w:cs="Times New Roman"/>
          <w:sz w:val="28"/>
          <w:szCs w:val="28"/>
        </w:rPr>
        <w:t xml:space="preserve">. All components will be explained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each week</w:t>
      </w:r>
      <w:r w:rsidR="002E6167" w:rsidRPr="00691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167" w:rsidRPr="00691A4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step by step</w:t>
      </w:r>
      <w:r w:rsidR="002E6167" w:rsidRPr="00691A4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earlhaig.ca</w:t>
      </w:r>
      <w:r w:rsidRPr="00691A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F07" w:rsidRPr="00691A46" w:rsidRDefault="00AB6F07" w:rsidP="00691A46">
      <w:pPr>
        <w:pStyle w:val="NoSpacing"/>
        <w:ind w:right="-144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 xml:space="preserve">2. Playing components </w:t>
      </w:r>
      <w:r w:rsidR="00691A46">
        <w:rPr>
          <w:rFonts w:ascii="Times New Roman" w:hAnsi="Times New Roman" w:cs="Times New Roman"/>
          <w:sz w:val="28"/>
          <w:szCs w:val="28"/>
        </w:rPr>
        <w:t>will</w:t>
      </w:r>
      <w:r w:rsidRPr="00691A46">
        <w:rPr>
          <w:rFonts w:ascii="Times New Roman" w:hAnsi="Times New Roman" w:cs="Times New Roman"/>
          <w:sz w:val="28"/>
          <w:szCs w:val="28"/>
        </w:rPr>
        <w:t xml:space="preserve"> be shared</w:t>
      </w:r>
      <w:r w:rsidR="00691A46" w:rsidRPr="00691A46">
        <w:rPr>
          <w:rFonts w:ascii="Times New Roman" w:hAnsi="Times New Roman" w:cs="Times New Roman"/>
          <w:sz w:val="28"/>
          <w:szCs w:val="28"/>
        </w:rPr>
        <w:t xml:space="preserve"> </w:t>
      </w:r>
      <w:r w:rsidR="00691A46" w:rsidRPr="00691A46">
        <w:rPr>
          <w:rFonts w:ascii="Times New Roman" w:hAnsi="Times New Roman" w:cs="Times New Roman"/>
          <w:sz w:val="28"/>
          <w:szCs w:val="28"/>
        </w:rPr>
        <w:t>as videos</w:t>
      </w:r>
      <w:r w:rsidRPr="00691A46">
        <w:rPr>
          <w:rFonts w:ascii="Times New Roman" w:hAnsi="Times New Roman" w:cs="Times New Roman"/>
          <w:sz w:val="28"/>
          <w:szCs w:val="28"/>
        </w:rPr>
        <w:t xml:space="preserve"> with </w:t>
      </w:r>
      <w:r w:rsidRPr="00691A46">
        <w:rPr>
          <w:rFonts w:ascii="Times New Roman" w:hAnsi="Times New Roman" w:cs="Times New Roman"/>
          <w:color w:val="FF0000"/>
          <w:sz w:val="28"/>
          <w:szCs w:val="28"/>
        </w:rPr>
        <w:t xml:space="preserve">robert.kettle@tdsb.on.ca </w:t>
      </w:r>
      <w:r w:rsidRPr="00691A46">
        <w:rPr>
          <w:rFonts w:ascii="Times New Roman" w:hAnsi="Times New Roman" w:cs="Times New Roman"/>
          <w:sz w:val="28"/>
          <w:szCs w:val="28"/>
        </w:rPr>
        <w:t xml:space="preserve">at </w:t>
      </w:r>
      <w:r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Google Drive</w:t>
      </w:r>
      <w:r w:rsidRPr="00691A46">
        <w:rPr>
          <w:rFonts w:ascii="Times New Roman" w:hAnsi="Times New Roman" w:cs="Times New Roman"/>
          <w:sz w:val="28"/>
          <w:szCs w:val="28"/>
        </w:rPr>
        <w:t>.</w:t>
      </w:r>
    </w:p>
    <w:p w:rsidR="00050870" w:rsidRPr="00691A46" w:rsidRDefault="00AB6F07" w:rsidP="000508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>3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. Written components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must </w:t>
      </w:r>
      <w:r w:rsidRPr="00691A46">
        <w:rPr>
          <w:rFonts w:ascii="Times New Roman" w:hAnsi="Times New Roman" w:cs="Times New Roman"/>
          <w:sz w:val="28"/>
          <w:szCs w:val="28"/>
        </w:rPr>
        <w:t xml:space="preserve">be </w:t>
      </w:r>
      <w:r w:rsidR="00171AE4" w:rsidRPr="00691A46">
        <w:rPr>
          <w:rFonts w:ascii="Times New Roman" w:hAnsi="Times New Roman" w:cs="Times New Roman"/>
          <w:sz w:val="28"/>
          <w:szCs w:val="28"/>
        </w:rPr>
        <w:t>submit</w:t>
      </w:r>
      <w:r w:rsidRPr="00691A46">
        <w:rPr>
          <w:rFonts w:ascii="Times New Roman" w:hAnsi="Times New Roman" w:cs="Times New Roman"/>
          <w:sz w:val="28"/>
          <w:szCs w:val="28"/>
        </w:rPr>
        <w:t>ted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 to</w:t>
      </w:r>
      <w:r w:rsidR="00050870" w:rsidRPr="00691A46">
        <w:rPr>
          <w:rFonts w:ascii="Times New Roman" w:hAnsi="Times New Roman" w:cs="Times New Roman"/>
          <w:sz w:val="28"/>
          <w:szCs w:val="28"/>
        </w:rPr>
        <w:t xml:space="preserve"> </w:t>
      </w:r>
      <w:r w:rsidR="00050870" w:rsidRPr="00691A4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turnitin.com</w:t>
      </w:r>
      <w:r w:rsidR="00171AE4" w:rsidRPr="00691A4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171AE4" w:rsidRPr="00691A46">
        <w:rPr>
          <w:rFonts w:ascii="Times New Roman" w:hAnsi="Times New Roman" w:cs="Times New Roman"/>
          <w:sz w:val="28"/>
          <w:szCs w:val="28"/>
        </w:rPr>
        <w:t>for evaluation.</w:t>
      </w:r>
    </w:p>
    <w:p w:rsidR="002E6167" w:rsidRDefault="00691A46" w:rsidP="003D6E4F">
      <w:pPr>
        <w:pStyle w:val="NoSpacing"/>
        <w:ind w:right="-72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  <w:t xml:space="preserve"> </w:t>
      </w:r>
    </w:p>
    <w:p w:rsidR="003D6E4F" w:rsidRDefault="003D6E4F" w:rsidP="003D6E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B6F07" w:rsidRPr="003D6E4F" w:rsidRDefault="00AB6F07" w:rsidP="003D6E4F">
      <w:pPr>
        <w:pStyle w:val="NoSpacing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D6E4F">
        <w:rPr>
          <w:rFonts w:ascii="Times New Roman" w:hAnsi="Times New Roman" w:cs="Times New Roman"/>
          <w:sz w:val="28"/>
          <w:szCs w:val="28"/>
        </w:rPr>
        <w:t>If you have already chosen a piece of music for your Summative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D6E4F">
        <w:rPr>
          <w:rFonts w:ascii="Times New Roman" w:hAnsi="Times New Roman" w:cs="Times New Roman"/>
          <w:b/>
          <w:bCs/>
          <w:sz w:val="28"/>
          <w:szCs w:val="28"/>
        </w:rPr>
        <w:t>hat’s OK.</w:t>
      </w:r>
    </w:p>
    <w:p w:rsidR="002C4E87" w:rsidRPr="00691A46" w:rsidRDefault="002C4E87" w:rsidP="00FD451B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4"/>
          <w:szCs w:val="24"/>
        </w:rPr>
        <w:t xml:space="preserve">* </w:t>
      </w:r>
      <w:r w:rsidR="00FD451B" w:rsidRPr="00691A46">
        <w:rPr>
          <w:rFonts w:ascii="Times New Roman" w:hAnsi="Times New Roman" w:cs="Times New Roman"/>
          <w:sz w:val="24"/>
          <w:szCs w:val="24"/>
        </w:rPr>
        <w:t>It is recommended that</w:t>
      </w:r>
      <w:r w:rsidRPr="00691A46">
        <w:rPr>
          <w:rFonts w:ascii="Times New Roman" w:hAnsi="Times New Roman" w:cs="Times New Roman"/>
          <w:sz w:val="24"/>
          <w:szCs w:val="24"/>
        </w:rPr>
        <w:t xml:space="preserve"> </w:t>
      </w:r>
      <w:r w:rsidR="00192ACF" w:rsidRPr="00691A46">
        <w:rPr>
          <w:rFonts w:ascii="Times New Roman" w:hAnsi="Times New Roman" w:cs="Times New Roman"/>
          <w:sz w:val="24"/>
          <w:szCs w:val="24"/>
        </w:rPr>
        <w:t>a</w:t>
      </w:r>
      <w:r w:rsidRPr="00691A46">
        <w:rPr>
          <w:rFonts w:ascii="Times New Roman" w:hAnsi="Times New Roman" w:cs="Times New Roman"/>
          <w:sz w:val="24"/>
          <w:szCs w:val="24"/>
        </w:rPr>
        <w:t xml:space="preserve"> piece be </w:t>
      </w:r>
      <w:r w:rsidR="00FD451B" w:rsidRPr="00691A46">
        <w:rPr>
          <w:rFonts w:ascii="Times New Roman" w:hAnsi="Times New Roman" w:cs="Times New Roman"/>
          <w:sz w:val="24"/>
          <w:szCs w:val="24"/>
        </w:rPr>
        <w:t xml:space="preserve">chosen </w:t>
      </w:r>
      <w:r w:rsidRPr="00691A46">
        <w:rPr>
          <w:rFonts w:ascii="Times New Roman" w:hAnsi="Times New Roman" w:cs="Times New Roman"/>
          <w:sz w:val="24"/>
          <w:szCs w:val="24"/>
        </w:rPr>
        <w:t>at these Grade levels of the Royal Conservatory of Music</w:t>
      </w:r>
    </w:p>
    <w:p w:rsidR="00192ACF" w:rsidRPr="003D6E4F" w:rsidRDefault="00192ACF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 xml:space="preserve">Gr   9: RCM Grade </w:t>
      </w:r>
      <w:r w:rsidR="00FD451B" w:rsidRPr="00050870">
        <w:rPr>
          <w:rFonts w:ascii="Times New Roman" w:hAnsi="Times New Roman" w:cs="Times New Roman"/>
          <w:sz w:val="24"/>
          <w:szCs w:val="24"/>
        </w:rPr>
        <w:t>6</w:t>
      </w:r>
      <w:r w:rsidRPr="00050870">
        <w:rPr>
          <w:rFonts w:ascii="Times New Roman" w:hAnsi="Times New Roman" w:cs="Times New Roman"/>
          <w:sz w:val="24"/>
          <w:szCs w:val="24"/>
        </w:rPr>
        <w:t>-7</w:t>
      </w:r>
      <w:r w:rsidR="002E61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10: RCM Grade 7-8</w:t>
      </w:r>
      <w:r w:rsidR="00B12B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B78" w:rsidRDefault="00B12B78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11: RCM Grade 8-9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ACF" w:rsidRPr="00050870" w:rsidRDefault="00192ACF" w:rsidP="00B12B78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050870">
        <w:rPr>
          <w:rFonts w:ascii="Times New Roman" w:hAnsi="Times New Roman" w:cs="Times New Roman"/>
          <w:sz w:val="24"/>
          <w:szCs w:val="24"/>
        </w:rPr>
        <w:t>Gr 12: RCM Grade 9-10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050870" w:rsidRPr="00050870" w:rsidRDefault="00050870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A46">
        <w:rPr>
          <w:rFonts w:ascii="Times New Roman" w:hAnsi="Times New Roman" w:cs="Times New Roman"/>
          <w:sz w:val="28"/>
          <w:szCs w:val="28"/>
        </w:rPr>
        <w:t>You may find titles of pieces in the RCM syllabus</w:t>
      </w:r>
      <w:r w:rsidRPr="00050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70" w:rsidRPr="003D6E4F" w:rsidRDefault="00050870" w:rsidP="00192AC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D451B" w:rsidRDefault="00FD451B" w:rsidP="00FD451B">
      <w:hyperlink r:id="rId4" w:history="1">
        <w:r>
          <w:rPr>
            <w:rStyle w:val="Hyperlink"/>
          </w:rPr>
          <w:t>https://www.rcmusic.com/learning/examinations/academic-resources-and-policies/syllabi-look-for-any-syllabus-below</w:t>
        </w:r>
      </w:hyperlink>
      <w:r>
        <w:t xml:space="preserve"> </w:t>
      </w:r>
    </w:p>
    <w:p w:rsidR="00FD451B" w:rsidRPr="00691A46" w:rsidRDefault="00050870" w:rsidP="00B12B78">
      <w:pPr>
        <w:pStyle w:val="NoSpacing"/>
        <w:ind w:right="-720"/>
        <w:rPr>
          <w:rFonts w:ascii="Times New Roman" w:hAnsi="Times New Roman" w:cs="Times New Roman"/>
          <w:sz w:val="28"/>
          <w:szCs w:val="28"/>
        </w:rPr>
      </w:pPr>
      <w:r w:rsidRPr="00691A46">
        <w:rPr>
          <w:rFonts w:ascii="Times New Roman" w:hAnsi="Times New Roman" w:cs="Times New Roman"/>
          <w:sz w:val="28"/>
          <w:szCs w:val="28"/>
        </w:rPr>
        <w:t>It is possible t</w:t>
      </w:r>
      <w:r w:rsidRPr="00691A46">
        <w:rPr>
          <w:rFonts w:ascii="Times New Roman" w:hAnsi="Times New Roman" w:cs="Times New Roman"/>
          <w:sz w:val="28"/>
          <w:szCs w:val="28"/>
        </w:rPr>
        <w:t>o</w:t>
      </w:r>
      <w:r w:rsidRPr="00691A46">
        <w:rPr>
          <w:rFonts w:ascii="Times New Roman" w:hAnsi="Times New Roman" w:cs="Times New Roman"/>
          <w:sz w:val="28"/>
          <w:szCs w:val="28"/>
        </w:rPr>
        <w:t xml:space="preserve"> purchase </w:t>
      </w:r>
      <w:r w:rsidRPr="00691A46">
        <w:rPr>
          <w:rFonts w:ascii="Times New Roman" w:hAnsi="Times New Roman" w:cs="Times New Roman"/>
          <w:sz w:val="28"/>
          <w:szCs w:val="28"/>
        </w:rPr>
        <w:t>music</w:t>
      </w:r>
      <w:r w:rsidRPr="00691A46">
        <w:rPr>
          <w:rFonts w:ascii="Times New Roman" w:hAnsi="Times New Roman" w:cs="Times New Roman"/>
          <w:sz w:val="28"/>
          <w:szCs w:val="28"/>
        </w:rPr>
        <w:t xml:space="preserve"> online from a publishing house and download the music within </w:t>
      </w:r>
      <w:r w:rsidR="00171AE4" w:rsidRPr="00691A46">
        <w:rPr>
          <w:rFonts w:ascii="Times New Roman" w:hAnsi="Times New Roman" w:cs="Times New Roman"/>
          <w:sz w:val="28"/>
          <w:szCs w:val="28"/>
        </w:rPr>
        <w:t xml:space="preserve">a few </w:t>
      </w:r>
      <w:r w:rsidRPr="00691A46">
        <w:rPr>
          <w:rFonts w:ascii="Times New Roman" w:hAnsi="Times New Roman" w:cs="Times New Roman"/>
          <w:sz w:val="28"/>
          <w:szCs w:val="28"/>
        </w:rPr>
        <w:t>minutes of purchase for you to print yourself.</w:t>
      </w:r>
      <w:r w:rsidRPr="00691A46">
        <w:rPr>
          <w:rFonts w:ascii="Times New Roman" w:hAnsi="Times New Roman" w:cs="Times New Roman"/>
          <w:sz w:val="28"/>
          <w:szCs w:val="28"/>
        </w:rPr>
        <w:t xml:space="preserve"> It may also be possible to purchase music over the telephone from a local music store and pick it up outside the store.</w:t>
      </w:r>
    </w:p>
    <w:p w:rsidR="003D6E4F" w:rsidRDefault="003D6E4F" w:rsidP="00192AC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E4F" w:rsidSect="00B12B7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87"/>
    <w:rsid w:val="00050870"/>
    <w:rsid w:val="00171AE4"/>
    <w:rsid w:val="00192ACF"/>
    <w:rsid w:val="002C4E87"/>
    <w:rsid w:val="002E6167"/>
    <w:rsid w:val="003D6E4F"/>
    <w:rsid w:val="00691A46"/>
    <w:rsid w:val="007F5010"/>
    <w:rsid w:val="0086706C"/>
    <w:rsid w:val="00AB6F07"/>
    <w:rsid w:val="00B12B78"/>
    <w:rsid w:val="00B13324"/>
    <w:rsid w:val="00E46B7B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DD52"/>
  <w15:chartTrackingRefBased/>
  <w15:docId w15:val="{4E57B56E-1E13-4328-998B-9A39127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ACF"/>
    <w:rPr>
      <w:color w:val="0000FF"/>
      <w:u w:val="single"/>
    </w:rPr>
  </w:style>
  <w:style w:type="paragraph" w:styleId="NoSpacing">
    <w:name w:val="No Spacing"/>
    <w:uiPriority w:val="1"/>
    <w:qFormat/>
    <w:rsid w:val="00192ACF"/>
    <w:pPr>
      <w:spacing w:after="0" w:line="240" w:lineRule="auto"/>
    </w:pPr>
  </w:style>
  <w:style w:type="table" w:styleId="TableGrid">
    <w:name w:val="Table Grid"/>
    <w:basedOn w:val="TableNormal"/>
    <w:uiPriority w:val="39"/>
    <w:rsid w:val="00E4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music.com/learning/examinations/academic-resources-and-policies/syllabi-look-for-any-syllabus-be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2020-04-26T23:49:00Z</dcterms:created>
  <dcterms:modified xsi:type="dcterms:W3CDTF">2020-04-26T23:49:00Z</dcterms:modified>
</cp:coreProperties>
</file>